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5152BD42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B1741A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BE69F2">
        <w:rPr>
          <w:rStyle w:val="Zvraznn"/>
        </w:rPr>
        <w:t>11</w:t>
      </w:r>
      <w:r w:rsidR="00A8346D" w:rsidRPr="00BE69F2">
        <w:rPr>
          <w:rStyle w:val="Zvraznn"/>
        </w:rPr>
        <w:t xml:space="preserve">.2. a </w:t>
      </w:r>
      <w:r w:rsidR="00A9214E" w:rsidRPr="00BE69F2">
        <w:rPr>
          <w:rStyle w:val="Zvraznn"/>
        </w:rPr>
        <w:t>11</w:t>
      </w:r>
      <w:r w:rsidRPr="00BE69F2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5E3EC303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404C8B">
        <w:rPr>
          <w:rFonts w:eastAsia="Times New Roman" w:cs="Times New Roman"/>
          <w:lang w:eastAsia="cs-CZ"/>
        </w:rPr>
        <w:t xml:space="preserve">na podlimitní sektorovou veřejnou zakázku s názvem </w:t>
      </w:r>
      <w:bookmarkStart w:id="0" w:name="_Toc403053768"/>
      <w:r w:rsidRPr="00404C8B">
        <w:rPr>
          <w:rFonts w:eastAsia="Times New Roman" w:cs="Times New Roman"/>
          <w:b/>
          <w:lang w:eastAsia="cs-CZ"/>
        </w:rPr>
        <w:t>„</w:t>
      </w:r>
      <w:bookmarkEnd w:id="0"/>
      <w:r w:rsidR="00404C8B" w:rsidRPr="00404C8B">
        <w:rPr>
          <w:b/>
          <w:bCs/>
        </w:rPr>
        <w:t>71010 | IDD | Nová provozní a údržbová smlouva | náhrada současného dodavatele</w:t>
      </w:r>
      <w:r w:rsidRPr="00404C8B">
        <w:rPr>
          <w:rFonts w:eastAsia="Times New Roman" w:cs="Times New Roman"/>
          <w:b/>
          <w:lang w:eastAsia="cs-CZ"/>
        </w:rPr>
        <w:t>“</w:t>
      </w:r>
      <w:r w:rsidRPr="00404C8B">
        <w:rPr>
          <w:rFonts w:eastAsia="Times New Roman" w:cs="Times New Roman"/>
          <w:lang w:eastAsia="cs-CZ"/>
        </w:rPr>
        <w:t xml:space="preserve">, tímto čestně prohlašuje, </w:t>
      </w:r>
      <w:r w:rsidR="00AC1AC3" w:rsidRPr="00404C8B">
        <w:rPr>
          <w:rFonts w:ascii="Verdana" w:hAnsi="Verdana"/>
        </w:rPr>
        <w:t>že</w:t>
      </w:r>
      <w:r w:rsidRPr="00404C8B">
        <w:rPr>
          <w:rFonts w:eastAsia="Times New Roman" w:cs="Times New Roman"/>
          <w:lang w:eastAsia="cs-CZ"/>
        </w:rPr>
        <w:t xml:space="preserve"> </w:t>
      </w:r>
      <w:r w:rsidR="00A06F33" w:rsidRPr="00404C8B">
        <w:rPr>
          <w:rFonts w:eastAsia="Calibri" w:cs="Times New Roman"/>
        </w:rPr>
        <w:t xml:space="preserve">dále uvedené </w:t>
      </w:r>
      <w:r w:rsidRPr="00404C8B">
        <w:rPr>
          <w:rFonts w:eastAsia="Calibri" w:cs="Times New Roman"/>
        </w:rPr>
        <w:t xml:space="preserve">údaje a další skutečnosti uvedené či jinak </w:t>
      </w:r>
      <w:r w:rsidR="009528D2" w:rsidRPr="00404C8B">
        <w:rPr>
          <w:rFonts w:eastAsia="Calibri" w:cs="Times New Roman"/>
        </w:rPr>
        <w:t xml:space="preserve">řádně </w:t>
      </w:r>
      <w:r w:rsidRPr="00404C8B">
        <w:rPr>
          <w:rFonts w:eastAsia="Calibri" w:cs="Times New Roman"/>
        </w:rPr>
        <w:t xml:space="preserve">označené </w:t>
      </w:r>
      <w:r w:rsidR="00AC2CF0" w:rsidRPr="00404C8B">
        <w:rPr>
          <w:rFonts w:eastAsia="Calibri" w:cs="Times New Roman"/>
        </w:rPr>
        <w:t>ve smlouvě</w:t>
      </w:r>
      <w:r w:rsidR="007308BA" w:rsidRPr="00404C8B">
        <w:rPr>
          <w:rFonts w:eastAsia="Calibri" w:cs="Times New Roman"/>
        </w:rPr>
        <w:t xml:space="preserve"> na</w:t>
      </w:r>
      <w:r w:rsidR="00AC2CF0" w:rsidRPr="00404C8B">
        <w:rPr>
          <w:rFonts w:eastAsia="Calibri" w:cs="Times New Roman"/>
        </w:rPr>
        <w:t xml:space="preserve"> </w:t>
      </w:r>
      <w:r w:rsidR="007308BA" w:rsidRPr="00404C8B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404C8B">
        <w:rPr>
          <w:rFonts w:eastAsia="Calibri" w:cs="Times New Roman"/>
          <w:b/>
          <w:i/>
        </w:rPr>
        <w:t>„</w:t>
      </w:r>
      <w:r w:rsidR="007308BA" w:rsidRPr="00404C8B">
        <w:rPr>
          <w:rStyle w:val="Kurzvatun"/>
        </w:rPr>
        <w:t>smlouva</w:t>
      </w:r>
      <w:r w:rsidR="007308BA" w:rsidRPr="00404C8B">
        <w:rPr>
          <w:rFonts w:eastAsia="Calibri" w:cs="Times New Roman"/>
          <w:b/>
          <w:i/>
        </w:rPr>
        <w:t>“</w:t>
      </w:r>
      <w:r w:rsidR="007308BA" w:rsidRPr="00404C8B">
        <w:rPr>
          <w:rFonts w:eastAsia="Calibri" w:cs="Times New Roman"/>
        </w:rPr>
        <w:t xml:space="preserve">), </w:t>
      </w:r>
      <w:r w:rsidRPr="00404C8B">
        <w:rPr>
          <w:rFonts w:eastAsia="Calibri" w:cs="Times New Roman"/>
        </w:rPr>
        <w:t>považuje</w:t>
      </w:r>
      <w:r w:rsidR="003B7E4D" w:rsidRPr="00404C8B">
        <w:rPr>
          <w:rFonts w:eastAsia="Calibri" w:cs="Times New Roman"/>
        </w:rPr>
        <w:t xml:space="preserve"> účastník</w:t>
      </w:r>
      <w:r w:rsidRPr="00404C8B">
        <w:rPr>
          <w:rFonts w:eastAsia="Calibri" w:cs="Times New Roman"/>
        </w:rPr>
        <w:t xml:space="preserve"> za obchodní tajemství ve smyslu </w:t>
      </w:r>
      <w:r w:rsidR="00871841" w:rsidRPr="00404C8B">
        <w:rPr>
          <w:rFonts w:eastAsia="Calibri" w:cs="Times New Roman"/>
        </w:rPr>
        <w:t xml:space="preserve">ustanovení § 504 </w:t>
      </w:r>
      <w:r w:rsidR="007308BA" w:rsidRPr="00404C8B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404C8B">
        <w:t>„</w:t>
      </w:r>
      <w:r w:rsidR="007308BA" w:rsidRPr="00404C8B">
        <w:rPr>
          <w:rStyle w:val="Kurzvatun"/>
        </w:rPr>
        <w:t>obchodní tajemství</w:t>
      </w:r>
      <w:r w:rsidR="007308BA" w:rsidRPr="00404C8B">
        <w:t>“</w:t>
      </w:r>
      <w:r w:rsidR="007308BA" w:rsidRPr="00404C8B">
        <w:rPr>
          <w:rFonts w:eastAsia="Calibri" w:cs="Times New Roman"/>
        </w:rPr>
        <w:t xml:space="preserve"> a </w:t>
      </w:r>
      <w:r w:rsidR="007308BA" w:rsidRPr="00404C8B">
        <w:t>„</w:t>
      </w:r>
      <w:r w:rsidR="007308BA" w:rsidRPr="00404C8B">
        <w:rPr>
          <w:rStyle w:val="Kurzvatun"/>
        </w:rPr>
        <w:t>občanský zákoník</w:t>
      </w:r>
      <w:r w:rsidR="007308BA" w:rsidRPr="00404C8B">
        <w:t>“</w:t>
      </w:r>
      <w:r w:rsidR="007308BA" w:rsidRPr="00404C8B">
        <w:rPr>
          <w:rFonts w:eastAsia="Calibri" w:cs="Times New Roman"/>
        </w:rPr>
        <w:t>)</w:t>
      </w:r>
      <w:r w:rsidR="00D45C59" w:rsidRPr="00404C8B">
        <w:rPr>
          <w:rFonts w:eastAsia="Calibri" w:cs="Times New Roman"/>
        </w:rPr>
        <w:t>, nebo se jedná</w:t>
      </w:r>
      <w:r w:rsidR="00D45C59">
        <w:rPr>
          <w:rFonts w:eastAsia="Calibri" w:cs="Times New Roman"/>
        </w:rPr>
        <w:t xml:space="preserve">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5AB6" w14:textId="77777777" w:rsidR="0039290E" w:rsidRDefault="0039290E" w:rsidP="00962258">
      <w:pPr>
        <w:spacing w:after="0" w:line="240" w:lineRule="auto"/>
      </w:pPr>
      <w:r>
        <w:separator/>
      </w:r>
    </w:p>
  </w:endnote>
  <w:endnote w:type="continuationSeparator" w:id="0">
    <w:p w14:paraId="1FA22C4C" w14:textId="77777777" w:rsidR="0039290E" w:rsidRDefault="0039290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81305" w14:textId="77777777" w:rsidR="0039290E" w:rsidRDefault="0039290E" w:rsidP="00962258">
      <w:pPr>
        <w:spacing w:after="0" w:line="240" w:lineRule="auto"/>
      </w:pPr>
      <w:r>
        <w:separator/>
      </w:r>
    </w:p>
  </w:footnote>
  <w:footnote w:type="continuationSeparator" w:id="0">
    <w:p w14:paraId="18641713" w14:textId="77777777" w:rsidR="0039290E" w:rsidRDefault="0039290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290E"/>
    <w:rsid w:val="003956C6"/>
    <w:rsid w:val="003B7E4D"/>
    <w:rsid w:val="00404C8B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27E1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1741A"/>
    <w:rsid w:val="00B36B3E"/>
    <w:rsid w:val="00B75EE1"/>
    <w:rsid w:val="00B77481"/>
    <w:rsid w:val="00B8518B"/>
    <w:rsid w:val="00BD7E91"/>
    <w:rsid w:val="00BE69F2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553248"/>
    <w:rsid w:val="005B27E1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470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12</cp:revision>
  <cp:lastPrinted>2017-11-28T17:18:00Z</cp:lastPrinted>
  <dcterms:created xsi:type="dcterms:W3CDTF">2023-02-27T12:40:00Z</dcterms:created>
  <dcterms:modified xsi:type="dcterms:W3CDTF">2026-05-08T08:23:00Z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